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2023年度广东省具有内部培训资格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会计师事务所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名单</w:t>
      </w:r>
    </w:p>
    <w:p>
      <w:pPr>
        <w:spacing w:line="64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8970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会计师事务所名称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广东中职信会计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广东中天粤会计师事务所（特殊普通合伙）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立信会计师事务所（特殊普通合伙）广东分所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普华永道中天会计师事务所（特殊普通合伙）广州分所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德勤华永会计师事务所（特殊普通合伙）广州分所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华兴会计师事务所（特殊普通合伙）广东分所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广东岭南智华会计师事务所（特殊普通合伙）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毕马威华振会计师事务所（特殊普通合伙）广州分所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信永中和会计师事务所（特殊普通合伙）广州分所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天健会计师事务所（特殊普通合伙）广东分所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广东中恒信会计师事务所（特殊普通合伙）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广东司农会计师事务所（特殊普通合伙）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安礼华粤（广东）会计师事务所（特殊普通合伙）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9F"/>
    <w:rsid w:val="000323C4"/>
    <w:rsid w:val="001A6B27"/>
    <w:rsid w:val="005E62AC"/>
    <w:rsid w:val="007B2D9F"/>
    <w:rsid w:val="007C3896"/>
    <w:rsid w:val="00963830"/>
    <w:rsid w:val="00992264"/>
    <w:rsid w:val="009A4CA8"/>
    <w:rsid w:val="00D90823"/>
    <w:rsid w:val="00EE1F5D"/>
    <w:rsid w:val="39E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三级标题"/>
    <w:basedOn w:val="1"/>
    <w:link w:val="7"/>
    <w:qFormat/>
    <w:uiPriority w:val="0"/>
    <w:pPr>
      <w:ind w:firstLine="643" w:firstLineChars="200"/>
    </w:pPr>
    <w:rPr>
      <w:b/>
      <w:szCs w:val="32"/>
    </w:rPr>
  </w:style>
  <w:style w:type="character" w:customStyle="1" w:styleId="7">
    <w:name w:val="三级标题 字符"/>
    <w:basedOn w:val="5"/>
    <w:link w:val="6"/>
    <w:uiPriority w:val="0"/>
    <w:rPr>
      <w:rFonts w:eastAsia="仿宋_GB2312"/>
      <w:b/>
      <w:sz w:val="32"/>
      <w:szCs w:val="32"/>
    </w:rPr>
  </w:style>
  <w:style w:type="character" w:customStyle="1" w:styleId="8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Lines>2</Lines>
  <Paragraphs>1</Paragraphs>
  <TotalTime>5</TotalTime>
  <ScaleCrop>false</ScaleCrop>
  <LinksUpToDate>false</LinksUpToDate>
  <CharactersWithSpaces>366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2023-07-05T07:52:00Z</dcterms:created>
  <dc:creator>林伊洵</dc:creator>
  <cp:lastModifiedBy> </cp:lastModifiedBy>
  <dcterms:modified xsi:type="dcterms:W3CDTF">2023-07-05T08:44:41Z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3F30522FB15448749CEFC245A6AA6FF9</vt:lpwstr>
  </property>
</Properties>
</file>